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Override PartName="/word/styles.xml" ContentType="application/vnd.openxmlformats-officedocument.wordprocessingml.style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7af981f8ff664a30" /></Relationships>
</file>

<file path=word/document.xml><?xml version="1.0" encoding="utf-8"?>
<w:document xmlns:w="http://schemas.openxmlformats.org/wordprocessingml/2006/main">
  <w:body>
    <w:tbl>
      <w:tblPr>
        <w:tblW w:w="9000" w:type="dxa"/>
        <w:tblBorders>
          <w:top w:val="nil"/>
          <w:bottom w:val="nil"/>
          <w:left w:val="nil"/>
          <w:right w:val="nil"/>
          <w:insideH w:val="nil"/>
          <w:insideV w:val="nil"/>
        </w:tblBorders>
        <w:tblCellSpacing w:w="60" w:type="dxa"/>
        <w:shd w:val="clear" w:color="auto" w:fill="E7F0F9"/>
      </w:tblPr>
      <w:tblGrid>
        <w:gridCol w:w="1200"/>
        <w:gridCol w:w="4500"/>
      </w:tblGrid>
      <w:tr>
        <w:tc>
          <w:tcPr>
            <w:tcW w:w="1200" w:type="pct"/>
            <w:shd w:val="clear" w:color="auto" w:fill="E7F0F9"/>
          </w:tcPr>
          <w:p>
            <w:pPr>
              <w:spacing w:before="0" w:after="0" w:line="240" w:lineRule="auto"/>
              <w:jc w:val="left"/>
            </w:pPr>
            <w:r>
              <w:rPr>
                <w:b/>
              </w:rPr>
              <w:t xml:space="preserve">RKP broj</w:t>
            </w:r>
          </w:p>
        </w:tc>
        <w:tc>
          <w:tcPr>
            <w:shd w:val="clear" w:color="auto" w:fill="E7F0F9"/>
          </w:tcPr>
          <w:p>
            <w:pPr>
              <w:spacing w:before="0" w:after="0" w:line="240" w:lineRule="auto"/>
              <w:jc w:val="left"/>
            </w:pPr>
            <w:r>
              <w:t xml:space="preserve">31745</w:t>
            </w:r>
          </w:p>
        </w:tc>
      </w:tr>
      <w:tr>
        <w:tc>
          <w:tcPr>
            <w:tcW w:w="1200" w:type="pct"/>
            <w:shd w:val="clear" w:color="auto" w:fill="E7F0F9"/>
          </w:tcPr>
          <w:p>
            <w:pPr>
              <w:spacing w:before="0" w:after="0" w:line="240" w:lineRule="auto"/>
              <w:jc w:val="left"/>
            </w:pPr>
            <w:r>
              <w:rPr>
                <w:b/>
              </w:rPr>
              <w:t xml:space="preserve">Naziv obveznika</w:t>
            </w:r>
          </w:p>
        </w:tc>
        <w:tc>
          <w:tcPr>
            <w:shd w:val="clear" w:color="auto" w:fill="E7F0F9"/>
          </w:tcPr>
          <w:p>
            <w:pPr>
              <w:spacing w:before="0" w:after="0" w:line="240" w:lineRule="auto"/>
              <w:jc w:val="left"/>
            </w:pPr>
            <w:r>
              <w:t xml:space="preserve">DOM ZDRAVLJA KORČULA</w:t>
            </w:r>
          </w:p>
        </w:tc>
      </w:tr>
      <w:tr>
        <w:tc>
          <w:tcPr>
            <w:tcW w:w="1200" w:type="pct"/>
            <w:shd w:val="clear" w:color="auto" w:fill="E7F0F9"/>
          </w:tcPr>
          <w:p>
            <w:pPr>
              <w:spacing w:before="0" w:after="0" w:line="240" w:lineRule="auto"/>
              <w:jc w:val="left"/>
            </w:pPr>
            <w:r>
              <w:rPr>
                <w:b/>
              </w:rPr>
              <w:t xml:space="preserve">Razina</w:t>
            </w:r>
          </w:p>
        </w:tc>
        <w:tc>
          <w:tcPr>
            <w:shd w:val="clear" w:color="auto" w:fill="E7F0F9"/>
          </w:tcPr>
          <w:p>
            <w:pPr>
              <w:spacing w:before="0" w:after="0" w:line="240" w:lineRule="auto"/>
              <w:jc w:val="left"/>
            </w:pPr>
            <w:r>
              <w:t xml:space="preserve">31</w:t>
            </w:r>
          </w:p>
        </w:tc>
      </w:tr>
    </w:tbl>
    <w:p>
      <w:r>
        <w:br/>
      </w:r>
    </w:p>
    <w:p>
      <w:pPr>
        <w:jc w:val="center"/>
        <w:pStyle w:val="Normal"/>
        <w:spacing w:line="240" w:lineRule="auto"/>
      </w:pPr>
      <w:r>
        <w:rPr>
          <w:b/>
          <w:sz w:val="28"/>
          <w:rFonts w:ascii="Times New Roman" w:hAnsi="Times New Roman"/>
        </w:rPr>
        <w:t xml:space="preserve">BILJEŠKE UZ FINANCIJSKE IZVJEŠTAJE</w:t>
      </w:r>
    </w:p>
    <w:p>
      <w:pPr>
        <w:jc w:val="center"/>
        <w:pStyle w:val="Normal"/>
        <w:spacing w:line="240" w:lineRule="auto"/>
      </w:pPr>
      <w:r>
        <w:rPr>
          <w:b/>
          <w:sz w:val="28"/>
          <w:rFonts w:ascii="Times New Roman" w:hAnsi="Times New Roman"/>
        </w:rPr>
        <w:t xml:space="preserve">ZA RAZDOBLJE</w:t>
      </w:r>
    </w:p>
    <w:p>
      <w:pPr>
        <w:jc w:val="center"/>
        <w:pStyle w:val="Normal"/>
        <w:spacing w:line="240" w:lineRule="auto"/>
      </w:pPr>
      <w:r>
        <w:rPr>
          <w:b/>
          <w:sz w:val="28"/>
          <w:rFonts w:ascii="Times New Roman" w:hAnsi="Times New Roman"/>
        </w:rPr>
        <w:t xml:space="preserve">I - XII 2026.</w:t>
      </w:r>
    </w:p>
    <w:p/>
    <w:p>
      <w:pPr>
        <w:jc w:val="center"/>
        <w:pStyle w:val="Normal"/>
        <w:spacing w:line="240" w:lineRule="auto"/>
        <w:keepNext/>
      </w:pPr>
      <w:r>
        <w:rPr>
          <w:b/>
          <w:sz w:val="28"/>
          <w:rFonts w:ascii="Times New Roman" w:hAnsi="Times New Roman"/>
        </w:rPr>
        <w:t xml:space="preserve">Izvještaj o prihodima i rashodima, primicima i izdacima</w:t>
      </w:r>
    </w:p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1.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0" w:type="auto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prethodne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tekuće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6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PRIHODI POSLOVANJA (šifre 61+62+63+64+65+66+67+68)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6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3.928.192,78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1.358.521,17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34,6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RASHODI POSLOVANJA (šifre 31+32+34+35+36+37+38) 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3.529.383,51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1.370.403,80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38,8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 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MANJAK PRIHODA POSLOVANJA (šifre Z005-6)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Y001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0,00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11.882,63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-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7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Prihodi od prodaje nefinancijske imovine (šifre 71+72+73+74)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7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572,00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0,00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0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4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Rashodi za nabavu nefinancijske imovine (šifre 41+42+43+44+45)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4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220.428,47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549.611,92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249,3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 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MANJAK PRIHODA OD NEFINANCIJSKE IMOVINE (šifre 4-7)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Y002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219.856,47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549.611,92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250,0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8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Primici od financijske imovine i zaduživanja (šifre 81+82+83+84+85)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8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0,00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0,00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-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5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Izdaci za financijsku imovinu i otplate zajmova (šifre 51+52+53+54+55)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5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0,00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0,00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-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 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VIŠAK/MANJAK PRIMITAKA OD FINANCIJSKE IMOVINE I ZADUŽIVANJA (šifre 8-5, 5-8)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X003, Y003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0,00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0,00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-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 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MANJAK PRIHODA I PRIMITAKA (šifre Y345-X678)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Y005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0,00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561.494,55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-</w:t>
            </w:r>
          </w:p>
        </w:tc>
      </w:tr>
    </w:tbl>
    <w:p>
      <w:pPr>
        <w:spacing w:before="0" w:after="0"/>
      </w:pPr>
    </w:p>
    <w:p>
      <w:r>
        <w:t xml:space="preserve">Dom zdravlja Korčula, OIB32567722366, sa sjedištem u Korčuli, javna je zdravstvena ustanova koja je do 30. travnja 2026. godine obavljala djelatnost primarne zdravstvene zaštite na području otoka Korčule.</w:t>
      </w:r>
    </w:p>
    <w:p>
      <w:r>
        <w:t xml:space="preserve">Temeljem Odluke Dubrovačko-neretvanske županije, s danom 1. svibnja 2026. godine Dom zdravlja Korčula pripojen je Domu zdravlja Dubrovačko-neretvanske županije. Slijedom navedenog, financijski izvještaji za 2026. godinu sastavljeni su za razdoblje poslovanja do dana pripajanja, odnosno za razdoblje u kojem je Dom zdravlja Korčula poslovao kao samostalna pravna osoba, te radi zakonske obveze sastavljanja završnog računa.</w:t>
      </w:r>
    </w:p>
    <w:p>
      <w:r>
        <w:t xml:space="preserve">Financijski izvještaji sastavljeni su sukladno Zakonu o proračunu, Pravilniku o proračunskom računovodstvu i Računskom planu te Pravilniku o financijskom izvještavanju u proračunskom računovodstvu.</w:t>
      </w:r>
    </w:p>
    <w:p>
      <w:r>
        <w:t xml:space="preserve">Poslovni događaji evidentirani su prema načelu nastanka događaja, a imovina i obveze iskazane su po knjigovodstvenim vrijednostima utvrđenim sukladno propisima koji uređuju proračunsko računovodstvo.</w:t>
      </w:r>
    </w:p>
    <w:p>
      <w:r>
        <w:t xml:space="preserve">Nakon datuma bilance nije bilo značajnih događaja koji bi zahtijevali dodatna usklađenja financijskih izvještaja. Poslovanje, imovina, prava i obveze Doma zdravlja Korčula nastavljeni su u okviru Doma zdravlja Dubrovačko-neretvanske županije kao pravnog slijednika.</w:t>
      </w:r>
    </w:p>
    <w:p>
      <w:r>
        <w:br/>
      </w:r>
    </w:p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2.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prethodne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tekuće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6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PRIHODI POSLOVANJA (šifre 61+62+63+64+65+66+67+68)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6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3.928.192,78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1.358.521,17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34,6</w:t>
            </w:r>
          </w:p>
        </w:tc>
      </w:tr>
    </w:tbl>
    <w:p>
      <w:pPr>
        <w:spacing w:before="0" w:after="0"/>
      </w:pPr>
    </w:p>
    <w:p>
      <w:r>
        <w:t xml:space="preserve">01.svibnja 2026. godine Dom zdravlja Korčula pripojen je Domu zdravlja Dubrovačko-neretvanske županije. Ukupni prihodi poslovanja ostvareni su u iznosu od 1.358.521,17 Eura.</w:t>
      </w:r>
    </w:p>
    <w:p>
      <w:r>
        <w:t xml:space="preserve">S obzirom da je ustanova pripojena tijekom 2026. godine, ostvareni prihodi i rashodi značajno su manji u odnosu na prethodnu godinu jer obuhvaćaju samo dio poslovne godine.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3.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prethodne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tekuće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RASHODI POSLOVANJA (šifre 31+32+34+35+36+37+38) 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3.529.383,51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1.370.403,80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38,8</w:t>
            </w:r>
          </w:p>
        </w:tc>
      </w:tr>
    </w:tbl>
    <w:p>
      <w:pPr>
        <w:spacing w:before="0" w:after="0"/>
      </w:pPr>
    </w:p>
    <w:p>
      <w:r>
        <w:t xml:space="preserve">01.svibnja 2026. godine Dom zdravlja Korčula pripojen je Domu zdravlja Dubrovačko-neretvanske županije. Ukupni rashodi poslovanja ostvareni su u iznosu od 1.370.403,80 eura.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4.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prethodne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tekuće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 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MANJAK PRIHODA POSLOVANJA (šifre Z005-6)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Y001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0,00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11.882,63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-</w:t>
            </w:r>
          </w:p>
        </w:tc>
      </w:tr>
    </w:tbl>
    <w:p>
      <w:pPr>
        <w:spacing w:before="0" w:after="0"/>
      </w:pPr>
    </w:p>
    <w:p>
      <w:r>
        <w:t xml:space="preserve">U izvještajnom razdoblju ostvaren je manjak prihoda poslovanja u iznosu od 11.882,63 eura.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5.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prethodne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tekuće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96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Obračunati prihodi poslovanja - nenaplaćeni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96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484.089,29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456.620,50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94,3</w:t>
            </w:r>
          </w:p>
        </w:tc>
      </w:tr>
    </w:tbl>
    <w:p>
      <w:pPr>
        <w:spacing w:before="0" w:after="0"/>
      </w:pPr>
    </w:p>
    <w:p>
      <w:r>
        <w:t xml:space="preserve">Obračunati prihodi poslovanja – nenaplaćeni na dan 31. prosinca 2026. godine iznose 456.620,50 eura, od čega se 226.846,64 eura odnosi na obračunate prihode od HZZO-a temeljem ugovornih obveza.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6.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prethodne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tekuće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 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MANJAK PRIHODA OD NEFINANCIJSKE IMOVINE (šifre 4-7)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Y002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219.856,47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549.611,92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250,0</w:t>
            </w:r>
          </w:p>
        </w:tc>
      </w:tr>
    </w:tbl>
    <w:p>
      <w:pPr>
        <w:spacing w:before="0" w:after="0"/>
      </w:pPr>
    </w:p>
    <w:p>
      <w:r>
        <w:t xml:space="preserve">U tijeku je NPOO projekt Energetske obnove ambulante Kuna Pelješka. Zaprimljene su tri privremene situacije u ukupnoj vrijednosti 521.873,66 Eur.</w:t>
      </w:r>
    </w:p>
    <w:p>
      <w:r>
        <w:t xml:space="preserve">Planirana vrijednost projekta iznosi 712.232,00 Eur. Projekt se financira iz tri izvora:</w:t>
      </w:r>
      <w:r>
        <w:br/>
      </w:r>
      <w:r>
        <w:t xml:space="preserve">EU                       184.690,00 €</w:t>
      </w:r>
      <w:r>
        <w:br/>
      </w:r>
      <w:r>
        <w:t xml:space="preserve">DNŽ                     308.771,00 €</w:t>
      </w:r>
      <w:r>
        <w:br/>
      </w:r>
      <w:r>
        <w:t xml:space="preserve">Općina Orebić    218.771,00 €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7.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prethodne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tekuće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96, 97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Obračunati prihodi poslovanja i od prodaje nefinancijske imovine - nenaplaćeni (šifre 96+97)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96,97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484.089,29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456.620,50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94,3</w:t>
            </w:r>
          </w:p>
        </w:tc>
      </w:tr>
    </w:tbl>
    <w:p>
      <w:pPr>
        <w:spacing w:before="0" w:after="0"/>
      </w:pPr>
    </w:p>
    <w:p>
      <w:r>
        <w:t xml:space="preserve">Metodološki manjak povezan s NPOO projektom Energetske obnove ambulante u Kuni Pelješkoj.</w:t>
      </w:r>
    </w:p>
    <w:p/>
    <w:p>
      <w:pPr>
        <w:jc w:val="center"/>
        <w:pStyle w:val="Normal"/>
        <w:spacing w:line="240" w:lineRule="auto"/>
        <w:keepNext/>
      </w:pPr>
      <w:r>
        <w:rPr>
          <w:b/>
          <w:sz w:val="28"/>
          <w:rFonts w:ascii="Times New Roman" w:hAnsi="Times New Roman"/>
        </w:rPr>
        <w:t xml:space="preserve">Bilanca</w:t>
      </w:r>
    </w:p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8.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Stanje 1. siječnja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Stanje 31. prosinca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/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IMOVINA (šifre B002+1)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B001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6.730.094,66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6.524.877,24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97,0</w:t>
            </w:r>
          </w:p>
        </w:tc>
      </w:tr>
    </w:tbl>
    <w:p>
      <w:pPr>
        <w:spacing w:before="0" w:after="0"/>
      </w:pPr>
    </w:p>
    <w:p>
      <w:r>
        <w:t xml:space="preserve">Ukupna imovina na dan 31. prosinca 2026. godine iznosi 6.524.877,24 eura. Promjene u vrijednosti imovine tijekom 2026. godine posljedica su obračuna ispravka vrijednosti dugotrajne imovine, redovnog poslovanja te provedbe statusne promjene pripajanja.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9.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Stanje 1. siječnja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Stanje 31. prosinca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Nefinancijska imovina (šifre 01+02+03+04+05+06)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B002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6.179.757,06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6.045.002,91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97,8</w:t>
            </w:r>
          </w:p>
        </w:tc>
      </w:tr>
    </w:tbl>
    <w:p>
      <w:pPr>
        <w:spacing w:before="0" w:after="0"/>
      </w:pPr>
    </w:p>
    <w:p>
      <w:r>
        <w:t xml:space="preserve">Nefinancijska imovina iznosi 6.045.002,91 eura i najvećim se dijelom odnosi na građevinske objekte, medicinsku i ostalu opremu potrebnu za obavljanje zdravstvene djelatnosti.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10.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Stanje 1. siječnja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Stanje 31. prosinca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Financijska imovina (šifre 11+12+13+14+15+16+17+19)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550.337,60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479.874,33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87,2</w:t>
            </w:r>
          </w:p>
        </w:tc>
      </w:tr>
    </w:tbl>
    <w:p>
      <w:pPr>
        <w:spacing w:before="0" w:after="0"/>
      </w:pPr>
    </w:p>
    <w:p>
      <w:r>
        <w:t xml:space="preserve">Financijska imovina iznosi 479.874,33 eura i odnosi se prvenstveno na potraživanja i novčana sredstva.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11.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Stanje 1. siječnja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Stanje 31. prosinca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163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Potraživanja za pomoći iz inozemstva i od subjekata unutar općeg proračuna (šifre 1631 do 1638)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163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30.449,68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151.099,78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496,2</w:t>
            </w:r>
          </w:p>
        </w:tc>
      </w:tr>
    </w:tbl>
    <w:p>
      <w:pPr>
        <w:spacing w:before="0" w:after="0"/>
      </w:pPr>
    </w:p>
    <w:p>
      <w:r>
        <w:t xml:space="preserve">Potraživanja su odnose na NPOO projekt Energetske obnove ambulante Kuna Pelješka.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12.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Stanje 1. siječnja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Stanje 31. prosinca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1638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Potraživanja za pomoći temeljem prijenosa EU sredstava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1638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29.849,68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150.499,78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504,2</w:t>
            </w:r>
          </w:p>
        </w:tc>
      </w:tr>
    </w:tbl>
    <w:p>
      <w:pPr>
        <w:spacing w:before="0" w:after="0"/>
      </w:pPr>
    </w:p>
    <w:p>
      <w:r>
        <w:t xml:space="preserve">Potraživanja su odnose na NPOO projekt Energetske obnove ambulante Kuna Pelješka.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13.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Stanje 1. siječnja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Stanje 31. prosinca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24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Obveze za nabavu nefinancijske imovine (šifre 241 do 245)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24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993,60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323.281,05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&gt;&gt;100</w:t>
            </w:r>
          </w:p>
        </w:tc>
      </w:tr>
    </w:tbl>
    <w:p>
      <w:pPr>
        <w:spacing w:before="0" w:after="0"/>
      </w:pPr>
    </w:p>
    <w:p>
      <w:r>
        <w:t xml:space="preserve">Rast obveza odnosi se na NPOO projekt Energetske obnove ambulante Kuna Pelješka.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14.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Stanje 1. siječnja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Stanje 31. prosinca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245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Obveze za dodatna ulaganja na nefinancijskoj imovini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245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0,00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320.602,70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-</w:t>
            </w:r>
          </w:p>
        </w:tc>
      </w:tr>
    </w:tbl>
    <w:p>
      <w:pPr>
        <w:spacing w:before="0" w:after="0"/>
      </w:pPr>
    </w:p>
    <w:p>
      <w:r>
        <w:t xml:space="preserve">Obveze za NPOO projekt Energetske obnove ambulante Kuna Pelješka.</w:t>
      </w:r>
    </w:p>
    <w:p/>
    <w:p>
      <w:pPr>
        <w:jc w:val="center"/>
        <w:pStyle w:val="Normal"/>
        <w:spacing w:line="240" w:lineRule="auto"/>
        <w:keepNext/>
      </w:pPr>
      <w:r>
        <w:rPr>
          <w:b/>
          <w:sz w:val="28"/>
          <w:rFonts w:ascii="Times New Roman" w:hAnsi="Times New Roman"/>
        </w:rPr>
        <w:t xml:space="preserve">Izvještaj o obvezama</w:t>
      </w:r>
    </w:p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15.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Iznos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/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Stanje obveza 1. siječnja (=stanju obveza iz Izvještaja o obvezama na 31. prosinca prethodne godine)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V001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248.523,84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-</w:t>
            </w:r>
          </w:p>
        </w:tc>
      </w:tr>
    </w:tbl>
    <w:p>
      <w:pPr>
        <w:spacing w:before="0" w:after="0"/>
      </w:pPr>
    </w:p>
    <w:p>
      <w:r>
        <w:t xml:space="preserve">Stanje obveza na dan 1. siječnja 2026. godine iznosilo je 248.523,84 eura.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16.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Iznos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/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Povećanje obveza u izvještajnom razdoblju (šifre V003+N23+N24 + 'N dio 25,26'+N27)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V002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1.904.053,90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-</w:t>
            </w:r>
          </w:p>
        </w:tc>
      </w:tr>
    </w:tbl>
    <w:p>
      <w:pPr>
        <w:spacing w:before="0" w:after="0"/>
      </w:pPr>
    </w:p>
    <w:p>
      <w:r>
        <w:t xml:space="preserve">Tijekom izvještajnog razdoblja obveze su povećane za 1.904.053,90 eura, od čega se najveći dio odnosi na:</w:t>
      </w:r>
    </w:p>
    <w:p>
      <w:r>
        <w:t xml:space="preserve">obveze za zaposlene u iznosu od 903.804,99 eura,</w:t>
      </w:r>
      <w:r>
        <w:br/>
      </w:r>
      <w:r>
        <w:t xml:space="preserve">obveze za materijalne rashode u iznosu od 365.056,28 eura.</w:t>
      </w:r>
      <w:r>
        <w:br/>
      </w:r>
      <w:r>
        <w:t xml:space="preserve">Sve obveze i potraživanja Doma zdravlja Korčula prenesene su na Dom zdravlja Dubrovačko-neretvanske županije sukladno aktu o pripajanju i zakonskim propisima kojima je uređeno statusno pripajanje javnih zdravstvenih ustanova.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17.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Iznos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/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Stanje dospjelih obveza na kraju izvještajnog razdoblja (šifre V008+D23+D24 + 'D dio 25,26' + D27)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V007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1.701,27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-</w:t>
            </w:r>
          </w:p>
        </w:tc>
      </w:tr>
    </w:tbl>
    <w:p>
      <w:pPr>
        <w:spacing w:before="0" w:after="0"/>
      </w:pPr>
    </w:p>
    <w:p>
      <w:r>
        <w:t xml:space="preserve">Dospjele obveze u iznosu 1.701,27 Eur odnose se isključivo na obveze za koje smo račune zaprimili nakon 30.04.2026. godine te iz tog razloga nisu mogli biti podmireni s 30.04.2026.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18.</w:t>
      </w:r>
    </w:p>
    <w:p>
      <w:pPr>
        <w:jc w:val="both"/>
        <w:pStyle w:val="Normal"/>
        <w:spacing w:line="240" w:lineRule="auto"/>
      </w:pPr>
      <w:r>
        <w:rPr>
          <w:b/>
          <w:sz w:val="24"/>
          <w:rFonts w:ascii="Times New Roman" w:hAnsi="Times New Roman"/>
        </w:rPr>
        <w:t xml:space="preserve">EU izvještaj</w:t>
      </w:r>
    </w:p>
    <w:p>
      <w:r>
        <w:t xml:space="preserve">Dom zdravlja Korčula sastavio je EU izvještaj po izvorima financiranja sukladno Pravilniku o financijskom izvještavanju u proračunskom računovodstvu.</w:t>
      </w:r>
    </w:p>
    <w:p>
      <w:r>
        <w:t xml:space="preserve">Temeljem Odluke Dubrovačko-neretvanske županije, s danom 1. svibnja 2026. godine Dom zdravlja Korčula pripojen je Domu zdravlja Dubrovačko-neretvanske županije. Slijedom navedenog, podaci iskazani u EU izvještaju odnose se na poslovne događaje nastale do dana pripajanja, odnosno na razdoblje u kojem je Dom zdravlja Korčula poslovao kao samostalna pravna osoba.</w:t>
      </w:r>
    </w:p>
    <w:p>
      <w:r>
        <w:t xml:space="preserve">U izvještajnom razdoblju evidentirani su prihodi iz izvora financiranja koji se odnose na sredstva Europske unije i sredstva nacionalnog sufinanciranja projekata financiranih iz EU fondova.</w:t>
      </w:r>
    </w:p>
    <w:p>
      <w:r>
        <w:t xml:space="preserve">Na računu 96381 – Tekuće pomoći iz državnog proračuna temeljem prijenosa EU sredstava ostvareni su prihodi u iznosu od 20.947,38 eura.</w:t>
      </w:r>
    </w:p>
    <w:p>
      <w:r>
        <w:t xml:space="preserve">Na računu 96382 – Kapitalne pomoći iz državnog proračuna temeljem prijenosa EU sredstava ostvareni su prihodi u iznosu od 150.347,37 eura.</w:t>
      </w:r>
    </w:p>
    <w:p>
      <w:r>
        <w:t xml:space="preserve">Ukupno ostvareni prihodi temeljem prijenosa EU sredstava iznose 171.294,75 eura.</w:t>
      </w:r>
    </w:p>
    <w:p>
      <w:r>
        <w:t xml:space="preserve">Na izvanbilančnoj evidenciji, na računu 99171 – Potraživanja po ugovorima o dodijeljenim bespovratnim sredstvima iz EU fondova, iskazano je stanje od 518.278,64 eura na početku izvještajnog razdoblja te 340.908,50 eura na kraju izvještajnog razdoblja.</w:t>
      </w:r>
    </w:p>
    <w:p/>
  </w:body>
</w:document>
</file>

<file path=word/styles.xml><?xml version="1.0" encoding="utf-8"?>
<w:styles xmlns:w="http://schemas.openxmlformats.org/wordprocessingml/2006/main">
  <w:docDefaults>
    <w:rPrDefault>
      <w:rPr>
        <w:rFonts w:ascii="Times New Roman" w:hAnsi="Times New Roman"/>
        <w:sz w:val="24"/>
      </w:rPr>
    </w:rPrDefault>
  </w:docDefaults>
  <w:style w:type="paragraph" w:styleId="Normal" w:default="true">
    <w:name w:val="Normal"/>
    <w:rPr>
      <w:rFonts w:ascii="Times New Roman" w:hAnsi="Times New Roman"/>
      <w:sz w:val="24"/>
    </w:r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styles" Target="/word/styles.xml" Id="Rf594895ac13b4c60" /></Relationships>
</file>